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91F0" w14:textId="77777777" w:rsidR="00722351" w:rsidRDefault="00722351" w:rsidP="00722351">
      <w:pPr>
        <w:spacing w:after="0" w:line="240" w:lineRule="auto"/>
        <w:ind w:left="720"/>
        <w:jc w:val="both"/>
        <w:rPr>
          <w:rFonts w:eastAsia="Times New Roman" w:cstheme="minorHAnsi"/>
          <w:b/>
          <w:bCs/>
          <w:color w:val="3F4444"/>
          <w:shd w:val="clear" w:color="auto" w:fill="FFFFFF"/>
        </w:rPr>
      </w:pPr>
      <w:bookmarkStart w:id="0" w:name="_Hlk79586307"/>
      <w:bookmarkStart w:id="1" w:name="_Hlk79586289"/>
      <w:bookmarkEnd w:id="0"/>
      <w:bookmarkEnd w:id="1"/>
      <w:r>
        <w:rPr>
          <w:rFonts w:ascii="Calibri" w:hAnsi="Calibri"/>
          <w:b/>
          <w:i/>
          <w:iCs/>
          <w:noProof/>
          <w:sz w:val="32"/>
          <w:szCs w:val="32"/>
        </w:rPr>
        <w:drawing>
          <wp:inline distT="0" distB="0" distL="0" distR="0" wp14:anchorId="58F6E21A" wp14:editId="124CD64A">
            <wp:extent cx="1294130" cy="670011"/>
            <wp:effectExtent l="0" t="0" r="127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67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9E5C5" w14:textId="2992C0E3" w:rsidR="00FD6532" w:rsidRPr="00722351" w:rsidRDefault="001321A1" w:rsidP="00722351">
      <w:pPr>
        <w:spacing w:after="0" w:line="240" w:lineRule="auto"/>
        <w:ind w:left="720"/>
        <w:jc w:val="center"/>
        <w:rPr>
          <w:rFonts w:eastAsia="Times New Roman" w:cstheme="minorHAnsi"/>
          <w:b/>
          <w:bCs/>
          <w:color w:val="3F4444"/>
          <w:shd w:val="clear" w:color="auto" w:fill="FFFFFF"/>
        </w:rPr>
      </w:pPr>
      <w:r w:rsidRPr="00722351">
        <w:rPr>
          <w:rFonts w:eastAsia="Times New Roman" w:cstheme="minorHAnsi"/>
          <w:b/>
          <w:bCs/>
          <w:color w:val="3F4444"/>
          <w:shd w:val="clear" w:color="auto" w:fill="FFFFFF"/>
        </w:rPr>
        <w:t>APTA KY</w:t>
      </w:r>
      <w:r w:rsidR="00253359" w:rsidRPr="00722351">
        <w:rPr>
          <w:rFonts w:eastAsia="Times New Roman" w:cstheme="minorHAnsi"/>
          <w:b/>
          <w:bCs/>
          <w:color w:val="3F4444"/>
          <w:shd w:val="clear" w:color="auto" w:fill="FFFFFF"/>
        </w:rPr>
        <w:t xml:space="preserve"> Delegate</w:t>
      </w:r>
    </w:p>
    <w:p w14:paraId="6808DBF0" w14:textId="77777777" w:rsidR="00162C57" w:rsidRDefault="00162C57" w:rsidP="00C76BEF">
      <w:pPr>
        <w:spacing w:after="0" w:line="240" w:lineRule="auto"/>
        <w:ind w:left="720"/>
        <w:jc w:val="center"/>
        <w:rPr>
          <w:rFonts w:ascii="APTA Sans Regular" w:eastAsia="Times New Roman" w:hAnsi="APTA Sans Regular" w:cs="Arial"/>
          <w:b/>
          <w:bCs/>
          <w:i/>
          <w:iCs/>
          <w:color w:val="3F4444"/>
          <w:sz w:val="36"/>
          <w:szCs w:val="36"/>
          <w:shd w:val="clear" w:color="auto" w:fill="FFFFFF"/>
        </w:rPr>
      </w:pPr>
    </w:p>
    <w:p w14:paraId="063D0428" w14:textId="6199E676" w:rsidR="00D81021" w:rsidRPr="00D81021" w:rsidRDefault="00D81021" w:rsidP="00D81021">
      <w:pPr>
        <w:shd w:val="clear" w:color="auto" w:fill="FFFFFF"/>
        <w:spacing w:after="240" w:line="240" w:lineRule="auto"/>
        <w:textAlignment w:val="baseline"/>
        <w:rPr>
          <w:rFonts w:ascii="APTA Sans Regular" w:eastAsia="Times New Roman" w:hAnsi="APTA Sans Regular" w:cs="Segoe UI"/>
          <w:color w:val="3F4444"/>
          <w:sz w:val="23"/>
          <w:szCs w:val="23"/>
          <w:u w:val="single"/>
        </w:rPr>
      </w:pPr>
      <w:r w:rsidRPr="00D81021">
        <w:rPr>
          <w:rFonts w:ascii="APTA Sans Regular" w:eastAsia="Times New Roman" w:hAnsi="APTA Sans Regular" w:cs="Segoe UI"/>
          <w:color w:val="3F4444"/>
          <w:sz w:val="23"/>
          <w:szCs w:val="23"/>
          <w:u w:val="single"/>
        </w:rPr>
        <w:t>Bylaws Qualification:</w:t>
      </w:r>
      <w:r w:rsidRPr="00D81021">
        <w:rPr>
          <w:rFonts w:ascii="APTA Sans Regular" w:eastAsia="Times New Roman" w:hAnsi="APTA Sans Regular" w:cs="Segoe UI"/>
          <w:color w:val="3F4444"/>
          <w:sz w:val="23"/>
          <w:szCs w:val="23"/>
        </w:rPr>
        <w:t xml:space="preserve"> </w:t>
      </w:r>
      <w:r w:rsidR="000E4F3D">
        <w:rPr>
          <w:rFonts w:ascii="APTA Sans Regular" w:eastAsia="Times New Roman" w:hAnsi="APTA Sans Regular" w:cs="Segoe UI"/>
          <w:strike/>
          <w:color w:val="3F4444"/>
          <w:sz w:val="23"/>
          <w:szCs w:val="23"/>
        </w:rPr>
        <w:t>C</w:t>
      </w:r>
      <w:r w:rsidRPr="00D81021">
        <w:rPr>
          <w:rFonts w:ascii="APTA Sans Regular" w:eastAsia="Times New Roman" w:hAnsi="APTA Sans Regular" w:cs="Segoe UI"/>
          <w:color w:val="3F4444"/>
          <w:sz w:val="23"/>
          <w:szCs w:val="23"/>
        </w:rPr>
        <w:t>andidates shall have been a member in good standing of APTA for two years immediately prior to election.</w:t>
      </w:r>
      <w:r w:rsidRPr="00D81021">
        <w:rPr>
          <w:rFonts w:ascii="APTA Sans Regular" w:eastAsia="Times New Roman" w:hAnsi="APTA Sans Regular" w:cs="Segoe UI"/>
          <w:color w:val="3F4444"/>
          <w:sz w:val="23"/>
          <w:szCs w:val="23"/>
          <w:u w:val="single"/>
        </w:rPr>
        <w:t xml:space="preserve">  </w:t>
      </w:r>
    </w:p>
    <w:p w14:paraId="22E9A5E1" w14:textId="0A8366EF" w:rsidR="00D81021" w:rsidRPr="00903B37" w:rsidRDefault="00D81021" w:rsidP="00D81021">
      <w:pPr>
        <w:shd w:val="clear" w:color="auto" w:fill="FFFFFF"/>
        <w:spacing w:after="240" w:line="240" w:lineRule="auto"/>
        <w:textAlignment w:val="baseline"/>
        <w:rPr>
          <w:rFonts w:ascii="APTA Sans Regular" w:eastAsia="Times New Roman" w:hAnsi="APTA Sans Regular" w:cs="Segoe UI"/>
          <w:color w:val="3F4444"/>
          <w:sz w:val="23"/>
          <w:szCs w:val="23"/>
        </w:rPr>
      </w:pPr>
      <w:r w:rsidRPr="00D81021">
        <w:rPr>
          <w:rFonts w:ascii="APTA Sans Regular" w:eastAsia="Times New Roman" w:hAnsi="APTA Sans Regular" w:cs="Segoe UI"/>
          <w:color w:val="3F4444"/>
          <w:sz w:val="23"/>
          <w:szCs w:val="23"/>
          <w:u w:val="single"/>
        </w:rPr>
        <w:t>Other Qualifications</w:t>
      </w:r>
      <w:r w:rsidRPr="00903B37">
        <w:rPr>
          <w:rFonts w:ascii="APTA Sans Regular" w:eastAsia="Times New Roman" w:hAnsi="APTA Sans Regular" w:cs="Segoe UI"/>
          <w:color w:val="3F4444"/>
          <w:sz w:val="23"/>
          <w:szCs w:val="23"/>
        </w:rPr>
        <w:t xml:space="preserve">: Candidates must be willing to travel to </w:t>
      </w:r>
      <w:r w:rsidR="00903B37">
        <w:rPr>
          <w:rFonts w:ascii="APTA Sans Regular" w:eastAsia="Times New Roman" w:hAnsi="APTA Sans Regular" w:cs="Segoe UI"/>
          <w:color w:val="3F4444"/>
          <w:sz w:val="23"/>
          <w:szCs w:val="23"/>
        </w:rPr>
        <w:t xml:space="preserve">each </w:t>
      </w:r>
      <w:r w:rsidRPr="00903B37">
        <w:rPr>
          <w:rFonts w:ascii="APTA Sans Regular" w:eastAsia="Times New Roman" w:hAnsi="APTA Sans Regular" w:cs="Segoe UI"/>
          <w:color w:val="3F4444"/>
          <w:sz w:val="23"/>
          <w:szCs w:val="23"/>
        </w:rPr>
        <w:t xml:space="preserve">APTA House of Delegates (HOD) meeting </w:t>
      </w:r>
      <w:r w:rsidR="00903B37">
        <w:rPr>
          <w:rFonts w:ascii="APTA Sans Regular" w:eastAsia="Times New Roman" w:hAnsi="APTA Sans Regular" w:cs="Segoe UI"/>
          <w:color w:val="3F4444"/>
          <w:sz w:val="23"/>
          <w:szCs w:val="23"/>
        </w:rPr>
        <w:t xml:space="preserve">during their tenure </w:t>
      </w:r>
      <w:r w:rsidRPr="00903B37">
        <w:rPr>
          <w:rFonts w:ascii="APTA Sans Regular" w:eastAsia="Times New Roman" w:hAnsi="APTA Sans Regular" w:cs="Segoe UI"/>
          <w:color w:val="3F4444"/>
          <w:sz w:val="23"/>
          <w:szCs w:val="23"/>
        </w:rPr>
        <w:t xml:space="preserve">and be willing to cover incidental expenses, if any, which exceed the </w:t>
      </w:r>
      <w:r w:rsidR="004F20C5">
        <w:rPr>
          <w:rFonts w:ascii="APTA Sans Regular" w:eastAsia="Times New Roman" w:hAnsi="APTA Sans Regular" w:cs="Segoe UI"/>
          <w:color w:val="3F4444"/>
          <w:sz w:val="23"/>
          <w:szCs w:val="23"/>
        </w:rPr>
        <w:t xml:space="preserve">annual </w:t>
      </w:r>
      <w:r w:rsidRPr="00903B37">
        <w:rPr>
          <w:rFonts w:ascii="APTA Sans Regular" w:eastAsia="Times New Roman" w:hAnsi="APTA Sans Regular" w:cs="Segoe UI"/>
          <w:color w:val="3F4444"/>
          <w:sz w:val="23"/>
          <w:szCs w:val="23"/>
        </w:rPr>
        <w:t xml:space="preserve">stipend provided by </w:t>
      </w:r>
      <w:r w:rsidR="004F20C5">
        <w:rPr>
          <w:rFonts w:ascii="APTA Sans Regular" w:eastAsia="Times New Roman" w:hAnsi="APTA Sans Regular" w:cs="Segoe UI"/>
          <w:color w:val="3F4444"/>
          <w:sz w:val="23"/>
          <w:szCs w:val="23"/>
        </w:rPr>
        <w:t>APTA KY</w:t>
      </w:r>
      <w:r w:rsidRPr="00903B37">
        <w:rPr>
          <w:rFonts w:ascii="APTA Sans Regular" w:eastAsia="Times New Roman" w:hAnsi="APTA Sans Regular" w:cs="Segoe UI"/>
          <w:color w:val="3F4444"/>
          <w:sz w:val="23"/>
          <w:szCs w:val="23"/>
        </w:rPr>
        <w:t xml:space="preserve">.  </w:t>
      </w:r>
    </w:p>
    <w:p w14:paraId="619230F8" w14:textId="39571C12" w:rsidR="00162C57" w:rsidRPr="00D23C09" w:rsidRDefault="00162C57" w:rsidP="00D81021">
      <w:pPr>
        <w:shd w:val="clear" w:color="auto" w:fill="FFFFFF"/>
        <w:spacing w:after="240" w:line="240" w:lineRule="auto"/>
        <w:textAlignment w:val="baseline"/>
        <w:rPr>
          <w:rFonts w:ascii="APTA Sans Regular" w:eastAsia="Times New Roman" w:hAnsi="APTA Sans Regular" w:cs="Segoe UI"/>
          <w:color w:val="3F4444"/>
          <w:sz w:val="23"/>
          <w:szCs w:val="23"/>
          <w:u w:val="single"/>
        </w:rPr>
      </w:pPr>
      <w:r w:rsidRPr="00D23C09">
        <w:rPr>
          <w:rFonts w:ascii="APTA Sans Regular" w:eastAsia="Times New Roman" w:hAnsi="APTA Sans Regular" w:cs="Segoe UI"/>
          <w:bCs/>
          <w:color w:val="3F4444"/>
          <w:sz w:val="23"/>
          <w:szCs w:val="23"/>
          <w:u w:val="single"/>
        </w:rPr>
        <w:t>Duties:</w:t>
      </w:r>
    </w:p>
    <w:p w14:paraId="05EE44ED" w14:textId="6C55ECFE" w:rsidR="00253359" w:rsidRPr="00D23C09" w:rsidRDefault="00253359" w:rsidP="004F20C5">
      <w:pPr>
        <w:spacing w:after="0" w:line="240" w:lineRule="auto"/>
        <w:rPr>
          <w:rFonts w:ascii="APTA Sans Regular" w:eastAsia="Times New Roman" w:hAnsi="APTA Sans Regular" w:cs="Arial"/>
          <w:color w:val="3F4444"/>
          <w:sz w:val="23"/>
          <w:szCs w:val="23"/>
          <w:shd w:val="clear" w:color="auto" w:fill="FFFFFF"/>
        </w:rPr>
      </w:pPr>
      <w:r w:rsidRPr="00D23C09">
        <w:rPr>
          <w:rFonts w:ascii="APTA Sans Regular" w:eastAsia="Times New Roman" w:hAnsi="APTA Sans Regular" w:cs="Arial"/>
          <w:color w:val="3F4444"/>
          <w:sz w:val="23"/>
          <w:szCs w:val="23"/>
          <w:shd w:val="clear" w:color="auto" w:fill="FFFFFF"/>
        </w:rPr>
        <w:t xml:space="preserve">1. Serve </w:t>
      </w:r>
      <w:r w:rsidR="00825D9E" w:rsidRPr="00D23C09">
        <w:rPr>
          <w:rFonts w:ascii="APTA Sans Regular" w:eastAsia="Times New Roman" w:hAnsi="APTA Sans Regular" w:cs="Arial"/>
          <w:color w:val="3F4444"/>
          <w:sz w:val="23"/>
          <w:szCs w:val="23"/>
          <w:shd w:val="clear" w:color="auto" w:fill="FFFFFF"/>
        </w:rPr>
        <w:t xml:space="preserve">a two-year term </w:t>
      </w:r>
      <w:r w:rsidRPr="00D23C09">
        <w:rPr>
          <w:rFonts w:ascii="APTA Sans Regular" w:eastAsia="Times New Roman" w:hAnsi="APTA Sans Regular" w:cs="Arial"/>
          <w:color w:val="3F4444"/>
          <w:sz w:val="23"/>
          <w:szCs w:val="23"/>
          <w:shd w:val="clear" w:color="auto" w:fill="FFFFFF"/>
        </w:rPr>
        <w:t xml:space="preserve">as </w:t>
      </w:r>
      <w:r w:rsidR="000F10E6" w:rsidRPr="00D23C09">
        <w:rPr>
          <w:rFonts w:ascii="APTA Sans Regular" w:eastAsia="Times New Roman" w:hAnsi="APTA Sans Regular" w:cs="Arial"/>
          <w:color w:val="3F4444"/>
          <w:sz w:val="23"/>
          <w:szCs w:val="23"/>
          <w:shd w:val="clear" w:color="auto" w:fill="FFFFFF"/>
        </w:rPr>
        <w:t>a member</w:t>
      </w:r>
      <w:r w:rsidRPr="00D23C09">
        <w:rPr>
          <w:rFonts w:ascii="APTA Sans Regular" w:eastAsia="Times New Roman" w:hAnsi="APTA Sans Regular" w:cs="Arial"/>
          <w:color w:val="3F4444"/>
          <w:sz w:val="23"/>
          <w:szCs w:val="23"/>
          <w:shd w:val="clear" w:color="auto" w:fill="FFFFFF"/>
        </w:rPr>
        <w:t xml:space="preserve"> of the Chapter’s delegation to the House of Delegates</w:t>
      </w:r>
      <w:r w:rsidR="00EF37FB" w:rsidRPr="00D23C09">
        <w:rPr>
          <w:rFonts w:ascii="APTA Sans Regular" w:eastAsia="Times New Roman" w:hAnsi="APTA Sans Regular" w:cs="Arial"/>
          <w:color w:val="3F4444"/>
          <w:sz w:val="23"/>
          <w:szCs w:val="23"/>
          <w:shd w:val="clear" w:color="auto" w:fill="FFFFFF"/>
        </w:rPr>
        <w:t xml:space="preserve"> (HOD)</w:t>
      </w:r>
      <w:r w:rsidR="00D62739" w:rsidRPr="00D23C09">
        <w:rPr>
          <w:rFonts w:ascii="APTA Sans Regular" w:eastAsia="Times New Roman" w:hAnsi="APTA Sans Regular" w:cs="Arial"/>
          <w:color w:val="3F4444"/>
          <w:sz w:val="23"/>
          <w:szCs w:val="23"/>
          <w:shd w:val="clear" w:color="auto" w:fill="FFFFFF"/>
        </w:rPr>
        <w:t>.</w:t>
      </w:r>
    </w:p>
    <w:p w14:paraId="007B5908" w14:textId="5808092C" w:rsidR="007E5654" w:rsidRPr="00D23C09" w:rsidRDefault="00941ADC" w:rsidP="002A518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PTA Sans Regular" w:eastAsia="Times New Roman" w:hAnsi="APTA Sans Regular" w:cs="Times New Roman"/>
          <w:color w:val="3F4444"/>
          <w:sz w:val="23"/>
          <w:szCs w:val="23"/>
        </w:rPr>
      </w:pPr>
      <w:r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>Participate in</w:t>
      </w:r>
      <w:r w:rsidR="00253359"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 xml:space="preserve"> communication with </w:t>
      </w:r>
      <w:r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 xml:space="preserve">other </w:t>
      </w:r>
      <w:r w:rsidR="00253359"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>delegates and alternate delegates throughout the year</w:t>
      </w:r>
      <w:r w:rsidR="00D55121"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>-</w:t>
      </w:r>
      <w:r w:rsidR="00253359"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 xml:space="preserve">long governance cycle of the </w:t>
      </w:r>
      <w:r w:rsidR="006E0620"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>HOD</w:t>
      </w:r>
      <w:r w:rsidR="00D55121"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 xml:space="preserve">. </w:t>
      </w:r>
    </w:p>
    <w:p w14:paraId="38644FE1" w14:textId="6A3462E3" w:rsidR="002A518C" w:rsidRPr="00D23C09" w:rsidRDefault="007E5654" w:rsidP="002A518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PTA Sans Regular" w:eastAsia="Times New Roman" w:hAnsi="APTA Sans Regular" w:cs="Times New Roman"/>
          <w:color w:val="3F4444"/>
          <w:sz w:val="23"/>
          <w:szCs w:val="23"/>
        </w:rPr>
      </w:pPr>
      <w:r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 xml:space="preserve">Regularly review the </w:t>
      </w:r>
      <w:r w:rsidR="00EF37FB"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 xml:space="preserve">communications posted in the </w:t>
      </w:r>
      <w:r w:rsidR="00253359"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 xml:space="preserve">APTA </w:t>
      </w:r>
      <w:r w:rsidR="00BD7969">
        <w:rPr>
          <w:rFonts w:ascii="APTA Sans Regular" w:eastAsia="Times New Roman" w:hAnsi="APTA Sans Regular" w:cs="Times New Roman"/>
          <w:color w:val="3F4444"/>
          <w:sz w:val="23"/>
          <w:szCs w:val="23"/>
        </w:rPr>
        <w:t xml:space="preserve">House of </w:t>
      </w:r>
      <w:r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>Delegate</w:t>
      </w:r>
      <w:r w:rsidR="00BD7969">
        <w:rPr>
          <w:rFonts w:ascii="APTA Sans Regular" w:eastAsia="Times New Roman" w:hAnsi="APTA Sans Regular" w:cs="Times New Roman"/>
          <w:color w:val="3F4444"/>
          <w:sz w:val="23"/>
          <w:szCs w:val="23"/>
        </w:rPr>
        <w:t>s</w:t>
      </w:r>
      <w:r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 xml:space="preserve"> </w:t>
      </w:r>
      <w:r w:rsidR="00253359"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>Communities HUB</w:t>
      </w:r>
      <w:r w:rsidR="00EF37FB"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>, especially as the HOD approaches.</w:t>
      </w:r>
    </w:p>
    <w:p w14:paraId="3639E81B" w14:textId="6390EECD" w:rsidR="00D433DF" w:rsidRPr="00D23C09" w:rsidRDefault="00941ADC" w:rsidP="00D433D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PTA Sans Regular" w:eastAsia="Times New Roman" w:hAnsi="APTA Sans Regular" w:cs="Times New Roman"/>
          <w:color w:val="3F4444"/>
          <w:sz w:val="23"/>
          <w:szCs w:val="23"/>
        </w:rPr>
      </w:pPr>
      <w:r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>Participate in</w:t>
      </w:r>
      <w:r w:rsidR="00253359"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 xml:space="preserve"> delegate conference calls </w:t>
      </w:r>
      <w:r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>when scheduled by the Chief Delegate</w:t>
      </w:r>
      <w:r w:rsidR="006E0620"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>.</w:t>
      </w:r>
    </w:p>
    <w:p w14:paraId="23658569" w14:textId="4DECC852" w:rsidR="00165D66" w:rsidRPr="00D23C09" w:rsidRDefault="00253359" w:rsidP="00165D6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PTA Sans Regular" w:eastAsia="Times New Roman" w:hAnsi="APTA Sans Regular" w:cs="Times New Roman"/>
          <w:color w:val="3F4444"/>
          <w:sz w:val="23"/>
          <w:szCs w:val="23"/>
        </w:rPr>
      </w:pPr>
      <w:r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>Participate in Virtual Town Hall and Motion Concept webinars</w:t>
      </w:r>
      <w:r w:rsidR="00165D66"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>.</w:t>
      </w:r>
    </w:p>
    <w:p w14:paraId="5A676858" w14:textId="5839CCD2" w:rsidR="00D71FE7" w:rsidRPr="00D23C09" w:rsidRDefault="00FA2E38" w:rsidP="00165D6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PTA Sans Regular" w:eastAsia="Times New Roman" w:hAnsi="APTA Sans Regular" w:cs="Times New Roman"/>
          <w:color w:val="3F4444"/>
          <w:sz w:val="23"/>
          <w:szCs w:val="23"/>
        </w:rPr>
      </w:pPr>
      <w:r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>Review</w:t>
      </w:r>
      <w:r w:rsidR="00253359"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 xml:space="preserve"> individual motion and motion concepts </w:t>
      </w:r>
      <w:r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>when assigned by the Chief Delegate</w:t>
      </w:r>
      <w:r w:rsidR="00165D66"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>.</w:t>
      </w:r>
    </w:p>
    <w:p w14:paraId="3395DEE2" w14:textId="0746BEB3" w:rsidR="002008F4" w:rsidRPr="00D23C09" w:rsidRDefault="002008F4" w:rsidP="00D71FE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PTA Sans Regular" w:eastAsia="Times New Roman" w:hAnsi="APTA Sans Regular" w:cs="Times New Roman"/>
          <w:color w:val="3F4444"/>
          <w:sz w:val="23"/>
          <w:szCs w:val="23"/>
        </w:rPr>
      </w:pPr>
      <w:r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>Attend the HOD each year during the two-year term.</w:t>
      </w:r>
    </w:p>
    <w:p w14:paraId="650D561A" w14:textId="605C1FCD" w:rsidR="00253359" w:rsidRPr="00D23C09" w:rsidRDefault="00253359" w:rsidP="00253359">
      <w:pPr>
        <w:shd w:val="clear" w:color="auto" w:fill="FFFFFF"/>
        <w:spacing w:after="0" w:line="240" w:lineRule="auto"/>
        <w:ind w:left="720"/>
        <w:rPr>
          <w:rFonts w:ascii="APTA Sans Regular" w:eastAsia="Times New Roman" w:hAnsi="APTA Sans Regular" w:cs="Arial"/>
          <w:color w:val="3F4444"/>
          <w:sz w:val="23"/>
          <w:szCs w:val="23"/>
        </w:rPr>
      </w:pPr>
    </w:p>
    <w:p w14:paraId="4F141B21" w14:textId="2892010A" w:rsidR="006A5621" w:rsidRPr="00D23C09" w:rsidRDefault="00D211D7" w:rsidP="006A562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PTA Sans Regular" w:eastAsia="Times New Roman" w:hAnsi="APTA Sans Regular" w:cs="Arial"/>
          <w:color w:val="3F4444"/>
          <w:sz w:val="23"/>
          <w:szCs w:val="23"/>
        </w:rPr>
      </w:pPr>
      <w:r w:rsidRPr="00D23C09">
        <w:rPr>
          <w:rFonts w:ascii="APTA Sans Regular" w:eastAsia="Times New Roman" w:hAnsi="APTA Sans Regular" w:cs="Arial"/>
          <w:color w:val="3F4444"/>
          <w:sz w:val="23"/>
          <w:szCs w:val="23"/>
        </w:rPr>
        <w:t xml:space="preserve">As requested, assist </w:t>
      </w:r>
      <w:r w:rsidR="007D5397" w:rsidRPr="00D23C09">
        <w:rPr>
          <w:rFonts w:ascii="APTA Sans Regular" w:eastAsia="Times New Roman" w:hAnsi="APTA Sans Regular" w:cs="Arial"/>
          <w:color w:val="3F4444"/>
          <w:sz w:val="23"/>
          <w:szCs w:val="23"/>
        </w:rPr>
        <w:t xml:space="preserve">in communicating HOD issues to </w:t>
      </w:r>
      <w:r w:rsidR="00D84AD6">
        <w:rPr>
          <w:rFonts w:ascii="APTA Sans Regular" w:eastAsia="Times New Roman" w:hAnsi="APTA Sans Regular" w:cs="Arial"/>
          <w:color w:val="3F4444"/>
          <w:sz w:val="23"/>
          <w:szCs w:val="23"/>
        </w:rPr>
        <w:t xml:space="preserve">component </w:t>
      </w:r>
      <w:r w:rsidR="007D5397" w:rsidRPr="00D23C09">
        <w:rPr>
          <w:rFonts w:ascii="APTA Sans Regular" w:eastAsia="Times New Roman" w:hAnsi="APTA Sans Regular" w:cs="Arial"/>
          <w:color w:val="3F4444"/>
          <w:sz w:val="23"/>
          <w:szCs w:val="23"/>
        </w:rPr>
        <w:t>members</w:t>
      </w:r>
      <w:r w:rsidR="00C60CDF" w:rsidRPr="00D23C09">
        <w:rPr>
          <w:rFonts w:ascii="APTA Sans Regular" w:eastAsia="Times New Roman" w:hAnsi="APTA Sans Regular" w:cs="Arial"/>
          <w:color w:val="3F4444"/>
          <w:sz w:val="23"/>
          <w:szCs w:val="23"/>
        </w:rPr>
        <w:t>.</w:t>
      </w:r>
      <w:r w:rsidR="00354087" w:rsidRPr="00D23C09">
        <w:rPr>
          <w:rFonts w:ascii="APTA Sans Regular" w:eastAsia="Times New Roman" w:hAnsi="APTA Sans Regular" w:cs="Arial"/>
          <w:color w:val="3F4444"/>
          <w:sz w:val="23"/>
          <w:szCs w:val="23"/>
        </w:rPr>
        <w:t xml:space="preserve"> </w:t>
      </w:r>
    </w:p>
    <w:p w14:paraId="2A43B441" w14:textId="77777777" w:rsidR="006A5621" w:rsidRPr="00D23C09" w:rsidRDefault="006A5621" w:rsidP="006A5621">
      <w:pPr>
        <w:pStyle w:val="ListParagraph"/>
        <w:shd w:val="clear" w:color="auto" w:fill="FFFFFF"/>
        <w:spacing w:after="0" w:line="240" w:lineRule="auto"/>
        <w:ind w:left="360"/>
        <w:rPr>
          <w:rFonts w:ascii="APTA Sans Regular" w:eastAsia="Times New Roman" w:hAnsi="APTA Sans Regular" w:cs="Arial"/>
          <w:color w:val="3F4444"/>
          <w:sz w:val="23"/>
          <w:szCs w:val="23"/>
        </w:rPr>
      </w:pPr>
    </w:p>
    <w:p w14:paraId="600FCC0A" w14:textId="16CA4EB4" w:rsidR="00253359" w:rsidRPr="00D23C09" w:rsidRDefault="00253359" w:rsidP="006A562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PTA Sans Regular" w:eastAsia="Times New Roman" w:hAnsi="APTA Sans Regular" w:cs="Arial"/>
          <w:color w:val="3F4444"/>
          <w:sz w:val="23"/>
          <w:szCs w:val="23"/>
        </w:rPr>
      </w:pPr>
      <w:r w:rsidRPr="00D23C09">
        <w:rPr>
          <w:rFonts w:ascii="APTA Sans Regular" w:eastAsia="Times New Roman" w:hAnsi="APTA Sans Regular" w:cs="Arial"/>
          <w:color w:val="3F4444"/>
          <w:sz w:val="23"/>
          <w:szCs w:val="23"/>
        </w:rPr>
        <w:t>Overall time commitment can be as little 15-20 minutes reading email and HUB communications per week in slow times, 3-5 hours/week leading up to virtual meetings and the HOD in June</w:t>
      </w:r>
      <w:r w:rsidR="00354087" w:rsidRPr="00D23C09">
        <w:rPr>
          <w:rFonts w:ascii="APTA Sans Regular" w:eastAsia="Times New Roman" w:hAnsi="APTA Sans Regular" w:cs="Arial"/>
          <w:color w:val="3F4444"/>
          <w:sz w:val="23"/>
          <w:szCs w:val="23"/>
        </w:rPr>
        <w:t xml:space="preserve">. </w:t>
      </w:r>
      <w:r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 xml:space="preserve">Actual HOD meeting requires </w:t>
      </w:r>
      <w:r w:rsidR="00BD7969">
        <w:rPr>
          <w:rFonts w:ascii="APTA Sans Regular" w:eastAsia="Times New Roman" w:hAnsi="APTA Sans Regular" w:cs="Times New Roman"/>
          <w:color w:val="3F4444"/>
          <w:sz w:val="23"/>
          <w:szCs w:val="23"/>
        </w:rPr>
        <w:t>3-</w:t>
      </w:r>
      <w:r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>4+ days of travel</w:t>
      </w:r>
      <w:r w:rsidR="00785722"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>. Expect</w:t>
      </w:r>
      <w:r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 xml:space="preserve"> 12-15 h</w:t>
      </w:r>
      <w:r w:rsidR="00785722"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>ou</w:t>
      </w:r>
      <w:r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 xml:space="preserve">rs/day </w:t>
      </w:r>
      <w:r w:rsidR="00785722"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 xml:space="preserve">on-site </w:t>
      </w:r>
      <w:r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 xml:space="preserve">while </w:t>
      </w:r>
      <w:r w:rsidR="00785722"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>HOD</w:t>
      </w:r>
      <w:r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 xml:space="preserve"> </w:t>
      </w:r>
      <w:r w:rsidR="00785722"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 xml:space="preserve">is </w:t>
      </w:r>
      <w:r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>in session</w:t>
      </w:r>
      <w:r w:rsidR="00785722" w:rsidRPr="00D23C09">
        <w:rPr>
          <w:rFonts w:ascii="APTA Sans Regular" w:eastAsia="Times New Roman" w:hAnsi="APTA Sans Regular" w:cs="Times New Roman"/>
          <w:color w:val="3F4444"/>
          <w:sz w:val="23"/>
          <w:szCs w:val="23"/>
        </w:rPr>
        <w:t>.</w:t>
      </w:r>
    </w:p>
    <w:p w14:paraId="0E767266" w14:textId="77777777" w:rsidR="00F32F99" w:rsidRPr="00D23C09" w:rsidRDefault="00F32F99" w:rsidP="00253359">
      <w:pPr>
        <w:rPr>
          <w:rFonts w:ascii="APTA Sans Regular" w:hAnsi="APTA Sans Regular"/>
          <w:color w:val="3F4444"/>
          <w:sz w:val="23"/>
          <w:szCs w:val="23"/>
        </w:rPr>
      </w:pPr>
    </w:p>
    <w:sectPr w:rsidR="00F32F99" w:rsidRPr="00D23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A Sans Regular">
    <w:altName w:val="Calibri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99B"/>
    <w:multiLevelType w:val="hybridMultilevel"/>
    <w:tmpl w:val="BED81E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247DA"/>
    <w:multiLevelType w:val="hybridMultilevel"/>
    <w:tmpl w:val="98D23F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A1D5F"/>
    <w:multiLevelType w:val="hybridMultilevel"/>
    <w:tmpl w:val="0A744E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65775"/>
    <w:multiLevelType w:val="hybridMultilevel"/>
    <w:tmpl w:val="52BA31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7B36EF"/>
    <w:multiLevelType w:val="hybridMultilevel"/>
    <w:tmpl w:val="6FEC18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D67D9"/>
    <w:multiLevelType w:val="hybridMultilevel"/>
    <w:tmpl w:val="968AC0E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C8D09F7"/>
    <w:multiLevelType w:val="hybridMultilevel"/>
    <w:tmpl w:val="BED81E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F4791C"/>
    <w:multiLevelType w:val="hybridMultilevel"/>
    <w:tmpl w:val="70D6359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CD05D4"/>
    <w:multiLevelType w:val="hybridMultilevel"/>
    <w:tmpl w:val="3F0E8C2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8C14B5"/>
    <w:multiLevelType w:val="hybridMultilevel"/>
    <w:tmpl w:val="87E4B8B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3E5EBC"/>
    <w:multiLevelType w:val="hybridMultilevel"/>
    <w:tmpl w:val="98D23F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704E9"/>
    <w:multiLevelType w:val="hybridMultilevel"/>
    <w:tmpl w:val="365024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D0B26"/>
    <w:multiLevelType w:val="hybridMultilevel"/>
    <w:tmpl w:val="B29A6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BB0131"/>
    <w:multiLevelType w:val="hybridMultilevel"/>
    <w:tmpl w:val="CFF68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3A2348"/>
    <w:multiLevelType w:val="hybridMultilevel"/>
    <w:tmpl w:val="6A92C8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5951">
    <w:abstractNumId w:val="13"/>
  </w:num>
  <w:num w:numId="2" w16cid:durableId="1869683611">
    <w:abstractNumId w:val="14"/>
  </w:num>
  <w:num w:numId="3" w16cid:durableId="1413968219">
    <w:abstractNumId w:val="5"/>
  </w:num>
  <w:num w:numId="4" w16cid:durableId="816262758">
    <w:abstractNumId w:val="12"/>
  </w:num>
  <w:num w:numId="5" w16cid:durableId="1175343353">
    <w:abstractNumId w:val="6"/>
  </w:num>
  <w:num w:numId="6" w16cid:durableId="1186603134">
    <w:abstractNumId w:val="2"/>
  </w:num>
  <w:num w:numId="7" w16cid:durableId="1827284434">
    <w:abstractNumId w:val="0"/>
  </w:num>
  <w:num w:numId="8" w16cid:durableId="1029601383">
    <w:abstractNumId w:val="3"/>
  </w:num>
  <w:num w:numId="9" w16cid:durableId="1750348210">
    <w:abstractNumId w:val="4"/>
  </w:num>
  <w:num w:numId="10" w16cid:durableId="1179779074">
    <w:abstractNumId w:val="9"/>
  </w:num>
  <w:num w:numId="11" w16cid:durableId="838539504">
    <w:abstractNumId w:val="7"/>
  </w:num>
  <w:num w:numId="12" w16cid:durableId="1151411012">
    <w:abstractNumId w:val="11"/>
  </w:num>
  <w:num w:numId="13" w16cid:durableId="2117287259">
    <w:abstractNumId w:val="10"/>
  </w:num>
  <w:num w:numId="14" w16cid:durableId="777142649">
    <w:abstractNumId w:val="1"/>
  </w:num>
  <w:num w:numId="15" w16cid:durableId="17501560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59"/>
    <w:rsid w:val="00073807"/>
    <w:rsid w:val="000B2A3E"/>
    <w:rsid w:val="000E4F3D"/>
    <w:rsid w:val="000F10E6"/>
    <w:rsid w:val="001321A1"/>
    <w:rsid w:val="0016083D"/>
    <w:rsid w:val="00162C57"/>
    <w:rsid w:val="00165D66"/>
    <w:rsid w:val="001C6ABA"/>
    <w:rsid w:val="001F33CD"/>
    <w:rsid w:val="002008F4"/>
    <w:rsid w:val="00212609"/>
    <w:rsid w:val="00253359"/>
    <w:rsid w:val="002A518C"/>
    <w:rsid w:val="00323759"/>
    <w:rsid w:val="00354087"/>
    <w:rsid w:val="003D16E1"/>
    <w:rsid w:val="004E0465"/>
    <w:rsid w:val="004F20C5"/>
    <w:rsid w:val="00514FF7"/>
    <w:rsid w:val="00670EDB"/>
    <w:rsid w:val="006A5621"/>
    <w:rsid w:val="006E0620"/>
    <w:rsid w:val="00722351"/>
    <w:rsid w:val="00785722"/>
    <w:rsid w:val="007D5397"/>
    <w:rsid w:val="007E5654"/>
    <w:rsid w:val="00825D9E"/>
    <w:rsid w:val="008402B4"/>
    <w:rsid w:val="00903B37"/>
    <w:rsid w:val="00941ADC"/>
    <w:rsid w:val="0097348C"/>
    <w:rsid w:val="00A5300C"/>
    <w:rsid w:val="00B524E4"/>
    <w:rsid w:val="00BD7969"/>
    <w:rsid w:val="00C60CDF"/>
    <w:rsid w:val="00C76BEF"/>
    <w:rsid w:val="00D211D7"/>
    <w:rsid w:val="00D23C09"/>
    <w:rsid w:val="00D433DF"/>
    <w:rsid w:val="00D55121"/>
    <w:rsid w:val="00D62739"/>
    <w:rsid w:val="00D71FE7"/>
    <w:rsid w:val="00D7473A"/>
    <w:rsid w:val="00D81021"/>
    <w:rsid w:val="00D84AD6"/>
    <w:rsid w:val="00E12F84"/>
    <w:rsid w:val="00E37E9A"/>
    <w:rsid w:val="00E86F3C"/>
    <w:rsid w:val="00EC3291"/>
    <w:rsid w:val="00ED239F"/>
    <w:rsid w:val="00EF37FB"/>
    <w:rsid w:val="00F05039"/>
    <w:rsid w:val="00F253DE"/>
    <w:rsid w:val="00F32F99"/>
    <w:rsid w:val="00FA2E38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435A3"/>
  <w15:chartTrackingRefBased/>
  <w15:docId w15:val="{8A50B750-0763-4CC1-86EF-4D4EF4FE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359"/>
    <w:pPr>
      <w:ind w:left="720"/>
      <w:contextualSpacing/>
    </w:pPr>
  </w:style>
  <w:style w:type="paragraph" w:customStyle="1" w:styleId="m3704299241398761055msolistparagraph">
    <w:name w:val="m_3704299241398761055msolistparagraph"/>
    <w:basedOn w:val="Normal"/>
    <w:rsid w:val="0025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Volz</dc:creator>
  <cp:keywords/>
  <dc:description/>
  <cp:lastModifiedBy>Andrea</cp:lastModifiedBy>
  <cp:revision>2</cp:revision>
  <dcterms:created xsi:type="dcterms:W3CDTF">2023-08-04T19:15:00Z</dcterms:created>
  <dcterms:modified xsi:type="dcterms:W3CDTF">2023-08-04T19:15:00Z</dcterms:modified>
</cp:coreProperties>
</file>